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25" w:rsidRDefault="00695F25">
      <w:pPr>
        <w:pageBreakBefore/>
        <w:spacing w:line="100" w:lineRule="atLeast"/>
        <w:rPr>
          <w:rFonts w:ascii="Trebuchet MS" w:hAnsi="Trebuchet MS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• Экономические условия присоединения сетей электросвязи</w:t>
      </w:r>
    </w:p>
    <w:p w:rsidR="00695F25" w:rsidRDefault="00695F25">
      <w:pPr>
        <w:tabs>
          <w:tab w:val="left" w:pos="-142"/>
        </w:tabs>
        <w:spacing w:line="100" w:lineRule="atLeast"/>
        <w:rPr>
          <w:rFonts w:ascii="Trebuchet MS" w:hAnsi="Trebuchet MS"/>
          <w:bCs/>
          <w:color w:val="000000"/>
          <w:szCs w:val="20"/>
        </w:rPr>
      </w:pPr>
    </w:p>
    <w:p w:rsidR="000E592D" w:rsidRDefault="00695F25" w:rsidP="00D04AEE">
      <w:pPr>
        <w:tabs>
          <w:tab w:val="left" w:pos="-142"/>
        </w:tabs>
        <w:spacing w:line="100" w:lineRule="atLeast"/>
        <w:rPr>
          <w:rFonts w:ascii="Trebuchet MS" w:hAnsi="Trebuchet MS"/>
          <w:bCs/>
          <w:color w:val="000000"/>
          <w:sz w:val="24"/>
        </w:rPr>
      </w:pPr>
      <w:r>
        <w:rPr>
          <w:rFonts w:ascii="Trebuchet MS" w:hAnsi="Trebuchet MS"/>
          <w:bCs/>
          <w:color w:val="000000"/>
          <w:sz w:val="24"/>
        </w:rPr>
        <w:t>Тарифы на услуги присоединения и услуги по пропуску трафика ОАО КГТС</w:t>
      </w: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4678"/>
        <w:gridCol w:w="4532"/>
      </w:tblGrid>
      <w:tr w:rsidR="00A64D50" w:rsidTr="00A64D50">
        <w:trPr>
          <w:trHeight w:val="461"/>
        </w:trPr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D50" w:rsidRDefault="00A64D50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kern w:val="2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№ поз.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D50" w:rsidRDefault="00A64D50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kern w:val="2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 Вид услуги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D50" w:rsidRDefault="00A64D50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kern w:val="2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 xml:space="preserve">Размер оплаты за точку присоединения, руб. </w:t>
            </w:r>
          </w:p>
        </w:tc>
      </w:tr>
      <w:tr w:rsidR="00A64D50" w:rsidTr="00A64D50">
        <w:trPr>
          <w:trHeight w:val="385"/>
        </w:trPr>
        <w:tc>
          <w:tcPr>
            <w:tcW w:w="99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4D50" w:rsidRDefault="00A64D50">
            <w:pPr>
              <w:snapToGrid w:val="0"/>
              <w:spacing w:line="320" w:lineRule="exact"/>
              <w:rPr>
                <w:rFonts w:ascii="Trebuchet MS" w:hAnsi="Trebuchet MS"/>
                <w:b/>
                <w:color w:val="000000"/>
                <w:kern w:val="2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 xml:space="preserve">  Услуги присоединения к телефонной сети связи общего пользования КГТС</w:t>
            </w:r>
          </w:p>
        </w:tc>
      </w:tr>
      <w:tr w:rsidR="00A64D50" w:rsidTr="00A64D50">
        <w:trPr>
          <w:trHeight w:val="353"/>
        </w:trPr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D50" w:rsidRDefault="00A64D50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kern w:val="2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64D50" w:rsidRDefault="00A64D50">
            <w:pPr>
              <w:snapToGrid w:val="0"/>
              <w:spacing w:line="320" w:lineRule="exact"/>
              <w:ind w:left="138"/>
              <w:rPr>
                <w:rFonts w:ascii="Trebuchet MS" w:hAnsi="Trebuchet MS"/>
                <w:color w:val="000000"/>
                <w:kern w:val="2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Организация точки присоединения на местном уровне, разовый платеж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4D50" w:rsidRDefault="00A64D50">
            <w:pPr>
              <w:snapToGrid w:val="0"/>
              <w:spacing w:line="320" w:lineRule="exact"/>
              <w:ind w:left="138"/>
              <w:jc w:val="center"/>
              <w:rPr>
                <w:rFonts w:ascii="Trebuchet MS" w:hAnsi="Trebuchet MS"/>
                <w:color w:val="000000"/>
                <w:kern w:val="2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 xml:space="preserve">       30 000,00</w:t>
            </w:r>
          </w:p>
        </w:tc>
      </w:tr>
      <w:tr w:rsidR="00A64D50" w:rsidTr="00A64D50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64D50" w:rsidRDefault="00A64D50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kern w:val="2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 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64D50" w:rsidRDefault="00A64D50" w:rsidP="00A64D50">
            <w:pPr>
              <w:snapToGrid w:val="0"/>
              <w:spacing w:line="320" w:lineRule="exact"/>
              <w:ind w:left="138"/>
              <w:jc w:val="both"/>
              <w:rPr>
                <w:rFonts w:ascii="Trebuchet MS" w:hAnsi="Trebuchet MS"/>
                <w:i/>
                <w:color w:val="000000"/>
                <w:kern w:val="2"/>
                <w:szCs w:val="20"/>
              </w:rPr>
            </w:pPr>
            <w:r>
              <w:rPr>
                <w:rFonts w:ascii="Trebuchet MS" w:hAnsi="Trebuchet MS"/>
                <w:i/>
                <w:color w:val="000000"/>
                <w:szCs w:val="20"/>
              </w:rPr>
              <w:t xml:space="preserve">Примечание: одна точка присоединения – 1 Е1 </w:t>
            </w:r>
          </w:p>
        </w:tc>
      </w:tr>
    </w:tbl>
    <w:p w:rsidR="00A64D50" w:rsidRDefault="00A64D50" w:rsidP="00A64D50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A64D50" w:rsidRDefault="00A64D50" w:rsidP="00A64D50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  <w:r>
        <w:rPr>
          <w:rFonts w:ascii="Trebuchet MS" w:hAnsi="Trebuchet MS"/>
          <w:b/>
          <w:color w:val="000000"/>
          <w:szCs w:val="20"/>
        </w:rPr>
        <w:t>Стоимость услуг указана без учета налога на добавленную стоимость (НДС).</w:t>
      </w:r>
    </w:p>
    <w:p w:rsidR="00A64D50" w:rsidRDefault="00A64D50" w:rsidP="00D04AEE">
      <w:pPr>
        <w:tabs>
          <w:tab w:val="left" w:pos="-142"/>
        </w:tabs>
        <w:spacing w:line="100" w:lineRule="atLeast"/>
        <w:rPr>
          <w:rFonts w:ascii="Trebuchet MS" w:hAnsi="Trebuchet MS"/>
          <w:bCs/>
          <w:color w:val="000000"/>
          <w:sz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6381"/>
        <w:gridCol w:w="2835"/>
      </w:tblGrid>
      <w:tr w:rsidR="000E592D" w:rsidTr="00A64D50">
        <w:trPr>
          <w:trHeight w:val="461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№ поз.</w:t>
            </w:r>
          </w:p>
        </w:tc>
        <w:tc>
          <w:tcPr>
            <w:tcW w:w="6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 Вид услуги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 xml:space="preserve">Размер оплаты, рублей/минуту, руб. </w:t>
            </w:r>
          </w:p>
        </w:tc>
      </w:tr>
      <w:tr w:rsidR="000E592D" w:rsidTr="00A64D50">
        <w:trPr>
          <w:trHeight w:val="451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592D" w:rsidRDefault="000E592D" w:rsidP="00A64D50">
            <w:pPr>
              <w:snapToGrid w:val="0"/>
              <w:spacing w:line="320" w:lineRule="exact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Услуги по пропуску трафика на зоновом уровне присоединения</w:t>
            </w:r>
          </w:p>
        </w:tc>
      </w:tr>
      <w:tr w:rsidR="000E592D" w:rsidTr="00A64D50">
        <w:trPr>
          <w:trHeight w:val="415"/>
        </w:trPr>
        <w:tc>
          <w:tcPr>
            <w:tcW w:w="707" w:type="dxa"/>
            <w:tcBorders>
              <w:top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1.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</w:tcBorders>
            <w:vAlign w:val="center"/>
          </w:tcPr>
          <w:p w:rsidR="000E592D" w:rsidRDefault="000E592D" w:rsidP="000E592D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 xml:space="preserve"> Услуга зонового завершения вызова на сеть связи КГТС </w:t>
            </w:r>
          </w:p>
        </w:tc>
      </w:tr>
      <w:tr w:rsidR="000E592D" w:rsidTr="00A64D50">
        <w:trPr>
          <w:trHeight w:val="415"/>
        </w:trPr>
        <w:tc>
          <w:tcPr>
            <w:tcW w:w="707" w:type="dxa"/>
            <w:tcBorders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1.1.</w:t>
            </w:r>
          </w:p>
          <w:p w:rsidR="000E592D" w:rsidRDefault="000E592D" w:rsidP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1.2.</w:t>
            </w:r>
          </w:p>
        </w:tc>
        <w:tc>
          <w:tcPr>
            <w:tcW w:w="6381" w:type="dxa"/>
            <w:tcBorders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в пределах территории одного поселения</w:t>
            </w:r>
          </w:p>
          <w:p w:rsidR="000E592D" w:rsidRDefault="000E592D" w:rsidP="000E592D">
            <w:pPr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за пределами территории одного поселения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0,64</w:t>
            </w:r>
          </w:p>
          <w:p w:rsidR="000E592D" w:rsidRDefault="000E592D" w:rsidP="000E592D">
            <w:pPr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0,80</w:t>
            </w:r>
          </w:p>
        </w:tc>
      </w:tr>
      <w:tr w:rsidR="000E592D" w:rsidTr="00A64D50">
        <w:trPr>
          <w:trHeight w:val="415"/>
        </w:trPr>
        <w:tc>
          <w:tcPr>
            <w:tcW w:w="707" w:type="dxa"/>
            <w:tcBorders>
              <w:top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2.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</w:tcBorders>
            <w:vAlign w:val="center"/>
          </w:tcPr>
          <w:p w:rsidR="000E592D" w:rsidRDefault="000E592D" w:rsidP="000E592D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 xml:space="preserve"> Услуга зонового завершения вызова на сеть другого оператора</w:t>
            </w:r>
          </w:p>
        </w:tc>
      </w:tr>
      <w:tr w:rsidR="000E592D" w:rsidTr="00A64D50">
        <w:trPr>
          <w:trHeight w:val="415"/>
        </w:trPr>
        <w:tc>
          <w:tcPr>
            <w:tcW w:w="707" w:type="dxa"/>
            <w:tcBorders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2.1.</w:t>
            </w:r>
          </w:p>
          <w:p w:rsidR="000E592D" w:rsidRDefault="000E592D" w:rsidP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2.2.</w:t>
            </w:r>
          </w:p>
        </w:tc>
        <w:tc>
          <w:tcPr>
            <w:tcW w:w="6381" w:type="dxa"/>
            <w:tcBorders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 xml:space="preserve">- </w:t>
            </w:r>
            <w:r w:rsidR="00695F25">
              <w:rPr>
                <w:rFonts w:ascii="Trebuchet MS" w:hAnsi="Trebuchet MS"/>
                <w:color w:val="000000"/>
                <w:szCs w:val="20"/>
              </w:rPr>
              <w:t>в пределах территории одного поселения</w:t>
            </w:r>
          </w:p>
          <w:p w:rsidR="000E592D" w:rsidRDefault="000E592D" w:rsidP="00695F25">
            <w:pPr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 xml:space="preserve">- </w:t>
            </w:r>
            <w:r w:rsidR="00695F25">
              <w:rPr>
                <w:rFonts w:ascii="Trebuchet MS" w:hAnsi="Trebuchet MS"/>
                <w:color w:val="000000"/>
                <w:szCs w:val="20"/>
              </w:rPr>
              <w:t>за пределами территории одного поселения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</w:t>
            </w:r>
            <w:r w:rsidR="00695F25">
              <w:rPr>
                <w:rFonts w:ascii="Trebuchet MS" w:hAnsi="Trebuchet MS"/>
                <w:color w:val="000000"/>
                <w:sz w:val="24"/>
              </w:rPr>
              <w:t>64</w:t>
            </w:r>
          </w:p>
          <w:p w:rsidR="000E592D" w:rsidRDefault="000E592D" w:rsidP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</w:t>
            </w:r>
            <w:r w:rsidR="00695F25">
              <w:rPr>
                <w:rFonts w:ascii="Trebuchet MS" w:hAnsi="Trebuchet MS"/>
                <w:color w:val="000000"/>
                <w:sz w:val="24"/>
              </w:rPr>
              <w:t>80</w:t>
            </w:r>
          </w:p>
        </w:tc>
      </w:tr>
      <w:tr w:rsidR="000E592D" w:rsidTr="00A64D50">
        <w:trPr>
          <w:trHeight w:val="415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592D" w:rsidRDefault="000E592D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3.</w:t>
            </w:r>
          </w:p>
          <w:p w:rsidR="00695F25" w:rsidRDefault="00695F25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3.1.</w:t>
            </w:r>
          </w:p>
          <w:p w:rsidR="00695F25" w:rsidRDefault="00695F25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3.2.</w:t>
            </w:r>
          </w:p>
        </w:tc>
        <w:tc>
          <w:tcPr>
            <w:tcW w:w="6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E592D" w:rsidRDefault="00695F25" w:rsidP="00695F25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Услуга зонового инициирования вызова на сеть связи КГТС</w:t>
            </w:r>
          </w:p>
          <w:p w:rsidR="00695F25" w:rsidRDefault="00695F25" w:rsidP="00695F25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в пределах территории одного поселения</w:t>
            </w:r>
          </w:p>
          <w:p w:rsidR="00695F25" w:rsidRDefault="00695F25" w:rsidP="00695F25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за пределами территории одного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  <w:p w:rsidR="000E592D" w:rsidRDefault="00695F25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0,64</w:t>
            </w:r>
          </w:p>
          <w:p w:rsidR="00695F25" w:rsidRDefault="00695F25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0,80</w:t>
            </w:r>
          </w:p>
        </w:tc>
      </w:tr>
      <w:tr w:rsidR="00695F25" w:rsidTr="00A64D50">
        <w:trPr>
          <w:trHeight w:val="415"/>
        </w:trPr>
        <w:tc>
          <w:tcPr>
            <w:tcW w:w="707" w:type="dxa"/>
            <w:tcBorders>
              <w:top w:val="single" w:sz="4" w:space="0" w:color="000000"/>
            </w:tcBorders>
            <w:vAlign w:val="center"/>
          </w:tcPr>
          <w:p w:rsidR="00695F25" w:rsidRDefault="00695F25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4.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</w:tcBorders>
            <w:vAlign w:val="center"/>
          </w:tcPr>
          <w:p w:rsidR="00695F25" w:rsidRDefault="00695F25" w:rsidP="00695F25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 xml:space="preserve"> Услуга зонового инициирования вызова на сеть другого оператора</w:t>
            </w:r>
          </w:p>
        </w:tc>
      </w:tr>
      <w:tr w:rsidR="00695F25" w:rsidTr="00A64D50">
        <w:trPr>
          <w:trHeight w:val="415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695F25" w:rsidRDefault="00695F25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4.1.</w:t>
            </w:r>
          </w:p>
          <w:p w:rsidR="00695F25" w:rsidRDefault="00695F25" w:rsidP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4.2.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vAlign w:val="center"/>
          </w:tcPr>
          <w:p w:rsidR="00695F25" w:rsidRDefault="00695F25" w:rsidP="00695F25">
            <w:pPr>
              <w:snapToGrid w:val="0"/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в пределах территории одного поселения</w:t>
            </w:r>
          </w:p>
          <w:p w:rsidR="00695F25" w:rsidRDefault="00695F25" w:rsidP="00695F25">
            <w:pPr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за пределами территории одного поселения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5F25" w:rsidRDefault="00695F25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0,64</w:t>
            </w:r>
          </w:p>
          <w:p w:rsidR="00695F25" w:rsidRDefault="00695F25" w:rsidP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0,80</w:t>
            </w:r>
          </w:p>
        </w:tc>
      </w:tr>
      <w:tr w:rsidR="00A64D50" w:rsidTr="00A64D50">
        <w:trPr>
          <w:trHeight w:val="41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A64D50" w:rsidRDefault="00A64D50" w:rsidP="00A64D50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5.</w:t>
            </w:r>
          </w:p>
          <w:p w:rsidR="00A64D50" w:rsidRDefault="00A64D50" w:rsidP="00A64D50">
            <w:pPr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0" w:rsidRPr="00A64D50" w:rsidRDefault="00A64D50" w:rsidP="00A64D50">
            <w:pPr>
              <w:snapToGrid w:val="0"/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 w:rsidRPr="00A64D50">
              <w:rPr>
                <w:rFonts w:ascii="Trebuchet MS" w:hAnsi="Trebuchet MS"/>
                <w:color w:val="000000"/>
                <w:szCs w:val="20"/>
              </w:rPr>
              <w:t xml:space="preserve">- </w:t>
            </w:r>
            <w:r w:rsidRPr="00A64D50">
              <w:rPr>
                <w:rFonts w:ascii="Trebuchet MS" w:hAnsi="Trebuchet MS"/>
                <w:szCs w:val="20"/>
              </w:rPr>
              <w:t xml:space="preserve">Услуга  зонового завершения вызова на сеть КГТС или на сеть Присоединенного оператора в пределах территории одного поселения (г.Кострома) (по гарантированному объему трафика), если объем услуг, оказанных Оператору в отчетном периоде, менее 1000 мин. </w:t>
            </w:r>
            <w:r>
              <w:rPr>
                <w:rFonts w:ascii="Trebuchet MS" w:hAnsi="Trebuchet MS"/>
                <w:szCs w:val="20"/>
              </w:rPr>
              <w:t>в</w:t>
            </w:r>
            <w:r w:rsidRPr="00A64D50">
              <w:rPr>
                <w:rFonts w:ascii="Trebuchet MS" w:hAnsi="Trebuchet MS"/>
                <w:szCs w:val="20"/>
              </w:rPr>
              <w:t xml:space="preserve"> месяц на 1 точку присоединения (64 Кбит/с.), обеспечивающую возможность установления телефонного соединения (ИКМ/ТЧ)</w:t>
            </w:r>
          </w:p>
          <w:p w:rsidR="00A64D50" w:rsidRDefault="00A64D50" w:rsidP="00A64D50">
            <w:pPr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0" w:rsidRDefault="00A64D50" w:rsidP="00A64D50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640</w:t>
            </w:r>
          </w:p>
          <w:p w:rsidR="00A64D50" w:rsidRDefault="00A64D50" w:rsidP="00A64D50">
            <w:pPr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A64D50" w:rsidTr="00A64D50">
        <w:trPr>
          <w:trHeight w:val="41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A64D50" w:rsidRDefault="00A64D50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</w:tcBorders>
            <w:vAlign w:val="center"/>
          </w:tcPr>
          <w:p w:rsidR="00A64D50" w:rsidRDefault="00A64D50" w:rsidP="00695F25">
            <w:pPr>
              <w:snapToGrid w:val="0"/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64D50" w:rsidRDefault="00A64D50" w:rsidP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</w:p>
        </w:tc>
      </w:tr>
    </w:tbl>
    <w:p w:rsidR="00664715" w:rsidRDefault="00664715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  <w:r>
        <w:rPr>
          <w:rFonts w:ascii="Trebuchet MS" w:hAnsi="Trebuchet MS"/>
          <w:b/>
          <w:color w:val="000000"/>
          <w:szCs w:val="20"/>
        </w:rPr>
        <w:t>Стоимость услуг указана без учета налога на добавленную стоимость (НДС).</w:t>
      </w:r>
    </w:p>
    <w:sectPr w:rsidR="00664715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592D"/>
    <w:rsid w:val="000E592D"/>
    <w:rsid w:val="00174804"/>
    <w:rsid w:val="004C305A"/>
    <w:rsid w:val="00664715"/>
    <w:rsid w:val="00695F25"/>
    <w:rsid w:val="00882AD0"/>
    <w:rsid w:val="00A64D50"/>
    <w:rsid w:val="00D04AEE"/>
    <w:rsid w:val="00DA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m.karavaikov</dc:creator>
  <cp:lastModifiedBy>Михаил Фёдоров</cp:lastModifiedBy>
  <cp:revision>2</cp:revision>
  <cp:lastPrinted>1601-01-01T00:00:00Z</cp:lastPrinted>
  <dcterms:created xsi:type="dcterms:W3CDTF">2020-08-29T09:45:00Z</dcterms:created>
  <dcterms:modified xsi:type="dcterms:W3CDTF">2020-08-29T09:45:00Z</dcterms:modified>
</cp:coreProperties>
</file>